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Según establece el artículo 2 de los Estatutos, «El Organismo Autónomo, denominado O.A. Local de la Bajada de La Virgen, tiene personalidad jurídica propia y plena capacidad, para el desarrollo de los fines y las competencias que le atribuye la Corporación Municipal o en virtud de encomiendas específicas a través de los mecanismos jurídicos adecuados en cada caso.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La finalidad primordial de este Organismo Autónomo será la organización, desarrollo y promoción</w:t>
      </w:r>
    </w:p>
    <w:p>
      <w:pPr/>
      <w:r>
        <w:rPr/>
        <w:t xml:space="preserve">de las Fiestas Lustrales de la Bajada de La Virgen de las Nieves en orden a alcanzar el máximo esplendor</w:t>
      </w:r>
    </w:p>
    <w:p>
      <w:pPr/>
      <w:r>
        <w:rPr/>
        <w:t xml:space="preserve">de las mismas».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Asimismo, el artículo 5 de los mismos Estatutos dictamina, entre sus competencias: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«—Facilitar la máxima participación de los ciudadanos en la preparación y práctica de las actividades encaminadas a la elaboración y consecución óptima de los diferentes festejos, actos culturales, deportivos y números tradicionales que se programen dentro de las Fiestas Lustrales.</w:t>
      </w:r>
    </w:p>
    <w:p>
      <w:pPr/>
      <w:r>
        <w:rPr/>
        <w:t xml:space="preserve">—Organizar los elementos humanos y materiales que se precisen para el desarrollo de las Fiestas, así como certámenes y concursos tendentes al logro del máximo esplendor de las Fiestas.</w:t>
      </w:r>
    </w:p>
    <w:p>
      <w:pPr/>
      <w:r>
        <w:rPr/>
        <w:t xml:space="preserve">—Lograr la participación y colaboración de otras Administraciones Públicas, Entidades Privadas y personas físicas e instituciones sin fines de lucro, tanto para la celebración de las Fiestas como la financiación de las mismas, mediante subvenciones, transferencias u otras aportaciones.</w:t>
      </w:r>
    </w:p>
    <w:p>
      <w:pPr/>
      <w:r>
        <w:rPr/>
        <w:t xml:space="preserve">—Llevar a cabo cuantas actuaciones sean necesarias para obtener apoyo económico público o privado, con el fin de financiar las actividades y eventos festivos».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2026-08-14T17:40:21+00:00</dcterms:created>
  <dcterms:modified xsi:type="dcterms:W3CDTF">2026-08-14T17:40:21+00:00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