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5850" w:type="dxa"/>
        <w:gridCol w:w="35850" w:type="dxa"/>
        <w:gridCol w:w="405650" w:type="dxa"/>
      </w:tblGrid>
      <w:tblPr>
        <w:tblW w:w="285150" w:type="pct"/>
        <w:tblLayout w:type="autofit"/>
        <w:bidiVisual w:val="0"/>
      </w:tblPr>
      <w:tr>
        <w:trPr>
          <w:tblHeader w:val="1"/>
        </w:trPr>
        <w:tc>
          <w:tcPr>
            <w:tcW w:w="2358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5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056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35850" w:type="pct"/>
          </w:tcPr>
          <w:p>
            <w:pPr/>
            <w:r>
              <w:rPr/>
              <w:t xml:space="preserve">2025/2024/2023</w:t>
            </w:r>
          </w:p>
        </w:tc>
        <w:tc>
          <w:tcPr>
            <w:tcW w:w="35850" w:type="pct"/>
          </w:tcPr>
          <w:p>
            <w:pPr/>
            <w:r>
              <w:rPr/>
              <w:t xml:space="preserve">Unidades administrativas a nivel de servicio</w:t>
            </w:r>
          </w:p>
        </w:tc>
        <w:tc>
          <w:tcPr>
            <w:tcW w:w="405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2026-05-15T12:24:36+00:00</dcterms:created>
  <dcterms:modified xsi:type="dcterms:W3CDTF">2026-05-15T12:24:36+00:00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