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1080- Cartas de servicios elaboradas y, en el caso de las entidades locales, compromisos asumidos y grado de cumplimiento de los mismos.</w:t>
      </w:r>
    </w:p>
    <w:p>
      <w:pPr/>
      <w:r>
        <w:rPr/>
        <w:t xml:space="preserve">En el ejercicio de 2023, el Organismo Autónomo Local de la Bajada de la Virgen no ha dispuesto cartas de servicios elaboradas ni compromisos asumidos.</w:t>
      </w:r>
    </w:p>
    <w:p>
      <w:pPr/>
      <w:r>
        <w:rPr/>
        <w:t xml:space="preserve">En el ejercicio de 2024, el Organismo Autónomo Local de la Bajada de la Virgen no ha dispuesto cartas de servicios elaboradas ni compromisos asumidos.</w:t>
      </w:r>
    </w:p>
    <w:p>
      <w:pPr/>
      <w:r>
        <w:rPr/>
        <w:t xml:space="preserve">En el ejercicio de 2025, el Organismo Autónomo Local de la Bajada de la Virgen no ha dispuesto cartas de servicios elaboradas ni compromisos asumidos.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2026-05-15T12:23:13+00:00</dcterms:created>
  <dcterms:modified xsi:type="dcterms:W3CDTF">2026-05-15T12:23:13+00:00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