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estadística</w:t>
      </w:r>
    </w:p>
    <w:p>
      <w:pPr/>
      <w:r>
        <w:rPr>
          <w:b w:val="1"/>
          <w:bCs w:val="1"/>
        </w:rPr>
        <w:t xml:space="preserve">1195 Información estadística necesaria para valorar el grado de cumplimiento y calidad de los servicios públicos que sean de su competencia. </w:t>
      </w:r>
    </w:p>
    <w:p>
      <w:pPr/>
      <w:r>
        <w:rPr/>
        <w:t xml:space="preserve"> </w:t>
      </w:r>
    </w:p>
    <w:p>
      <w:pPr/>
      <w:r>
        <w:rPr/>
        <w:t xml:space="preserve">Ejercicio de 2023. El Organismo Autónomo Local de la Bajada de la Virgen no dispone de datos estadísticos.</w:t>
      </w:r>
    </w:p>
    <w:p>
      <w:pPr/>
      <w:r>
        <w:rPr/>
        <w:t xml:space="preserve">Ejercicio de 2024. El Organismo Autónomo Local de la Bajada de la Virgen no dispone de datos estadísticos.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2026-09-28T23:25:11+00:00</dcterms:created>
  <dcterms:modified xsi:type="dcterms:W3CDTF">2026-09-28T23:25:11+00:00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