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Preguntas frecuentes</w:t>
      </w:r>
    </w:p>
    <w:p>
      <w:pPr/>
      <w:r>
        <w:rPr>
          <w:b w:val="1"/>
          <w:bCs w:val="1"/>
        </w:rPr>
        <w:t xml:space="preserve">1143 Preguntas frecuentes y aclaraciones relativas al contenido de los contratos.</w:t>
      </w:r>
    </w:p>
    <w:p>
      <w:pPr/>
      <w:r>
        <w:rPr>
          <w:b w:val="1"/>
          <w:bCs w:val="1"/>
        </w:rPr>
        <w:t xml:space="preserve"> </w:t>
      </w:r>
    </w:p>
    <w:p>
      <w:pPr/>
      <w:r>
        <w:rPr/>
        <w:t xml:space="preserve">El Organismo no dispone de esa información.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2026-05-15T12:24:35+00:00</dcterms:created>
  <dcterms:modified xsi:type="dcterms:W3CDTF">2026-05-15T12:24:35+00:00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