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Ingresos y gastos</w:t>
      </w:r>
    </w:p>
    <w:p>
      <w:pPr/>
      <w:r>
        <w:rPr>
          <w:b w:val="1"/>
          <w:bCs w:val="1"/>
        </w:rPr>
        <w:t xml:space="preserve">1110 Gasto total efectuado en concepto de ayudas y subvenciones para actividades económicas.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2019 - 2020 - 2021- 2025: No se han realizado gastos por este concepto.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2026-08-14T17:42:14+00:00</dcterms:created>
  <dcterms:modified xsi:type="dcterms:W3CDTF">2026-08-14T17:42:14+00:00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