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Ingresos y gastos</w:t>
      </w:r>
    </w:p>
    <w:p>
      <w:pPr/>
      <w:r>
        <w:rPr>
          <w:b w:val="1"/>
          <w:bCs w:val="1"/>
        </w:rPr>
        <w:t xml:space="preserve">1108 Gasto efectuado en concepto de patrocinio y campañas de publicidad institucional.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  No se han realizado gastos por este concepto.</w:t>
      </w:r>
    </w:p>
    <w:p>
      <w:pPr/>
      <w:r>
        <w:rPr/>
        <w:t xml:space="preserve">Ejercicio 2020:  Se han realizado gastos por un importe total de 2.889,00 €, por el concepto de campañas de publicidad institucional.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2026-05-15T12:25:36+00:00</dcterms:created>
  <dcterms:modified xsi:type="dcterms:W3CDTF">2026-05-15T12:25:36+00:00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