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Ingresos y gastos</w:t>
      </w:r>
    </w:p>
    <w:p>
      <w:pPr>
        <w:jc w:val="both"/>
      </w:pPr>
      <w:r>
        <w:rPr>
          <w:b w:val="1"/>
          <w:bCs w:val="1"/>
        </w:rPr>
        <w:t xml:space="preserve">1106 Gasto efectuado en concepto de arrendamiento de bienes inmuebles.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Ejercico 2019 - 2020 - 2021: No se han realizado gastos en concepto de bienes inmuebles.. </w:t>
      </w:r>
    </w:p>
    <w:p>
      <w:pPr>
        <w:jc w:val="both"/>
      </w:pPr>
      <w:r>
        <w:rPr/>
        <w:t xml:space="preserve">Ejercicio de 2023, 2024 y 2025.</w:t>
      </w:r>
    </w:p>
    <w:p>
      <w:pPr>
        <w:jc w:val="both"/>
      </w:pPr>
      <w:r>
        <w:rPr/>
        <w:t xml:space="preserve">El Organismo Autónomo Local de la Bajada de la Virgen no dispone de bienes inmuebles de los que sea titular o sobre los que ostente algún derecho real.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2026-09-28T23:26:49+00:00</dcterms:created>
  <dcterms:modified xsi:type="dcterms:W3CDTF">2026-09-28T23:26:49+00:00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