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1104 Gastos de personal y su porcentaje sobre el gasto total.</w:t>
      </w:r>
    </w:p>
    <w:p>
      <w:pPr/>
      <w:r>
        <w:rPr/>
        <w:t xml:space="preserve"> </w:t>
      </w:r>
    </w:p>
    <w:p>
      <w:pPr/>
      <w:r>
        <w:rPr/>
        <w:t xml:space="preserve">Ejercicio 2019 - 2020 - 2021 - 2025: No se cuenta con personal.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2026-08-14T17:41:53+00:00</dcterms:created>
  <dcterms:modified xsi:type="dcterms:W3CDTF">2026-08-14T17:41:53+00:00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