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Ingresos y gastos</w:t>
      </w:r>
    </w:p>
    <w:p>
      <w:pPr/>
      <w:r>
        <w:rPr>
          <w:b w:val="1"/>
          <w:bCs w:val="1"/>
        </w:rPr>
        <w:t xml:space="preserve">1104 Gastos de personal y su porcentaje sobre el gasto total.</w:t>
      </w:r>
    </w:p>
    <w:p>
      <w:pPr/>
      <w:r>
        <w:rPr/>
        <w:t xml:space="preserve"> </w:t>
      </w:r>
    </w:p>
    <w:p>
      <w:pPr/>
      <w:r>
        <w:rPr/>
        <w:t xml:space="preserve">Ejercicio 2019 - 2020 - 2021 - 2025: No se cuenta con personal.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2026-09-28T23:27:17+00:00</dcterms:created>
  <dcterms:modified xsi:type="dcterms:W3CDTF">2026-09-28T23:27:17+00:00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