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Información presupuestaria y contable</w:t>
      </w:r>
    </w:p>
    <w:p>
      <w:pPr/>
      <w:r>
        <w:rPr>
          <w:b w:val="1"/>
          <w:bCs w:val="1"/>
        </w:rPr>
        <w:t xml:space="preserve">1094 Modificaciones de crédito aprobadas por los órganos de gobierno de la entidad (créditos extraordinarios, suplementos, etc).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2019: No se han realizado modificaciones Prespuestarias en el Presuesto de 2019.</w:t>
      </w:r>
    </w:p>
    <w:p>
      <w:pPr/>
      <w:r>
        <w:rPr/>
        <w:t xml:space="preserve">Ejercicio 2020: No se han aprobado modificaciones Presupuestarias en el Presupuesto de 2020.</w:t>
      </w:r>
    </w:p>
    <w:p>
      <w:pPr/>
      <w:r>
        <w:rPr/>
        <w:t xml:space="preserve">Ejercicio 2021: No se han aprobado modificaciones Presupuestarias en el Presupuesto de 2021.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2026-09-28T23:25:46+00:00</dcterms:created>
  <dcterms:modified xsi:type="dcterms:W3CDTF">2026-09-28T23:25:46+00:00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