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Procedimientos</w:t>
      </w:r>
    </w:p>
    <w:p>
      <w:pPr>
        <w:jc w:val="both"/>
      </w:pPr>
      <w:r>
        <w:rPr>
          <w:b w:val="1"/>
          <w:bCs w:val="1"/>
        </w:rPr>
        <w:t xml:space="preserve">2005 Descripción del uso del canal interno de información de la Ley 2/2023, y principios esenciales del procedimiento de gestión</w:t>
      </w:r>
    </w:p>
    <w:p>
      <w:pPr>
        <w:jc w:val="both"/>
      </w:pPr>
      <w:r>
        <w:rPr/>
        <w:t xml:space="preserve">Acceso al canal de denuncias mediante el acceso a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2026-08-14T17:42:01+00:00</dcterms:created>
  <dcterms:modified xsi:type="dcterms:W3CDTF">2026-08-14T17:42:01+00:00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