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Procedimientos</w:t></w:r></w:p><w:p><w:pPr/><w:r><w:rPr><w:b w:val="1"/><w:bCs w:val="1"/></w:rPr><w:t xml:space="preserve">1084 Registro de actividades de tratamiento de datos personales.</w:t></w:r></w:p><w:p><w:pPr/><w:r><w:rPr><w:b w:val="1"/><w:bCs w:val="1"/></w:rPr><w:t xml:space="preserve"> </w:t></w:r></w:p><w:p><w:pPr/><w:r><w:rPr/><w:t xml:space="preserve">Ejercicio de 2023.</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b w:val="1"/><w:bCs w:val="1"/></w:rPr><w:t xml:space="preserve"> </w:t></w:r></w:p><w:p><w:pPr/><w:r><w:rPr/><w:t xml:space="preserve">Ejercicio de 2024.</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t xml:space="preserve">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2026-06-29T18:49:28+00:00</dcterms:created>
  <dcterms:modified xsi:type="dcterms:W3CDTF">2026-06-29T18:49:28+00:00</dcterms:modified>
</cp:coreProperties>
</file>

<file path=docProps/custom.xml><?xml version="1.0" encoding="utf-8"?>
<Properties xmlns="http://schemas.openxmlformats.org/officeDocument/2006/custom-properties" xmlns:vt="http://schemas.openxmlformats.org/officeDocument/2006/docPropsVTypes"/>
</file>