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Procedimientos</w:t>
      </w:r>
    </w:p>
    <w:p>
      <w:pPr/>
      <w:r>
        <w:rPr>
          <w:b w:val="1"/>
          <w:bCs w:val="1"/>
        </w:rPr>
        <w:t xml:space="preserve">1083 Estadísticas de quejas y sugerencias: número de reclamaciones por el funcionamiento de los servicios y número o proporción de aceptadas o resueltas a favor de los interesados.</w:t>
      </w:r>
    </w:p>
    <w:p>
      <w:pPr/>
      <w:r>
        <w:rPr/>
        <w:t xml:space="preserve">Ejercicio de 2023. Cuadro de quejas y sugerencias.</w:t>
      </w:r>
    </w:p>
    <w:p>
      <w:pPr/>
      <w:r>
        <w:rPr/>
        <w:t xml:space="preserve">Ejercicio de 2024. Cuadro de quejas y sugerencias.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2026-08-14T17:41:12+00:00</dcterms:created>
  <dcterms:modified xsi:type="dcterms:W3CDTF">2026-08-14T17:41:12+00:00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