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Servicios</w:t>
      </w:r>
    </w:p>
    <w:p>
      <w:pPr/>
      <w:r>
        <w:rPr>
          <w:b w:val="1"/>
          <w:bCs w:val="1"/>
        </w:rPr>
        <w:t xml:space="preserve">1076 Servicios que presta cada unidad administrativa o la entidad, indicando los requisitos y condiciones de acceso a los mismos, horario, tasas, tarifas o precios; y, en el caso de las entidades locales, las normas por las que se rigen.</w:t>
      </w:r>
    </w:p>
    <w:p>
      <w:pPr/>
      <w:r>
        <w:rPr/>
        <w:t xml:space="preserve">Ejercicio de 2023.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Ejercicio de 2024.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2026-08-14T17:41:18+00:00</dcterms:created>
  <dcterms:modified xsi:type="dcterms:W3CDTF">2026-08-14T17:41:18+00:00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