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Información general sobre las condiciones para el devengo y cuantías de las indemnizaciones por razón del servicio</w:t>
      </w:r>
    </w:p>
    <w:p>
      <w:pPr/>
      <w:r>
        <w:rPr>
          <w:b w:val="1"/>
          <w:bCs w:val="1"/>
        </w:rPr>
        <w:t xml:space="preserve">1056 Viajes, manutención, alojamiento y asistencia a órganos colegiados o sociales.</w:t>
      </w:r>
    </w:p>
    <w:p>
      <w:pPr/>
      <w:r>
        <w:rPr>
          <w:b w:val="1"/>
          <w:bCs w:val="1"/>
        </w:rPr>
        <w:t xml:space="preserve"> </w:t>
      </w:r>
    </w:p>
    <w:p>
      <w:pPr/>
      <w:r>
        <w:rPr/>
        <w:t xml:space="preserve">Ejercicio 2019: No se contemplan gastos por viajes, manutención, alojamiento y asistencia a órganos colegiados o sociales.</w:t>
      </w:r>
    </w:p>
    <w:p>
      <w:pPr/>
      <w:r>
        <w:rPr/>
        <w:t xml:space="preserve">Ejercicio 2020: No se contemplan gastos por viajes, manutención, alojamiento y asistencia a órganos colegiados o sociales.</w:t>
      </w:r>
    </w:p>
    <w:p>
      <w:pPr/>
      <w:r>
        <w:rPr/>
        <w:t xml:space="preserve">Ejercicio 2021: No se contemplan gastos por viajes, manutención, alojamiento y asistencia a órganos colegiados o sociales.</w:t>
      </w:r>
    </w:p>
    <w:p>
      <w:pPr/>
      <w:r>
        <w:rPr/>
        <w:t xml:space="preserve">Ejercicio 2025: No se contemplan gastos por viajes, manutención, alojamiento y asistencia a órganos colegiados o sociales.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2026-06-29T18:50:20+00:00</dcterms:created>
  <dcterms:modified xsi:type="dcterms:W3CDTF">2026-06-29T18:50:20+00:00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