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general sobre las condiciones para el devengo y cuantías de las indemnizaciones por razón del servicio</w:t>
      </w:r>
    </w:p>
    <w:p>
      <w:pPr/>
      <w:r>
        <w:rPr>
          <w:b w:val="1"/>
          <w:bCs w:val="1"/>
        </w:rPr>
        <w:t xml:space="preserve">1056 Viajes, manutención, alojamiento y asistencia a órganos colegiados o sociales.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contemplan gastos por viajes, manutención, alojamiento y asistencia a órganos colegiados o sociales.</w:t>
      </w:r>
    </w:p>
    <w:p>
      <w:pPr/>
      <w:r>
        <w:rPr/>
        <w:t xml:space="preserve">Ejercicio 2020: No se contemplan gastos por viajes, manutención, alojamiento y asistencia a órganos colegiados o sociales.</w:t>
      </w:r>
    </w:p>
    <w:p>
      <w:pPr/>
      <w:r>
        <w:rPr/>
        <w:t xml:space="preserve">Ejercicio 2021: No se contemplan gastos por viajes, manutención, alojamiento y asistencia a órganos colegiados o sociales.</w:t>
      </w:r>
    </w:p>
    <w:p>
      <w:pPr/>
      <w:r>
        <w:rPr/>
        <w:t xml:space="preserve">Ejercicio 2025: No se contemplan gastos por viajes, manutención, alojamiento y asistencia a órganos colegiados o sociales.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2026-08-14T17:42:57+00:00</dcterms:created>
  <dcterms:modified xsi:type="dcterms:W3CDTF">2026-08-14T17:42:57+00:00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