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Personal funcionario, laboral y estatutario</w:t>
      </w:r>
    </w:p>
    <w:p>
      <w:pPr/>
      <w:r>
        <w:rPr>
          <w:b w:val="1"/>
          <w:bCs w:val="1"/>
        </w:rPr>
        <w:t xml:space="preserve">1054 Aportaciones a planes de pensiones o seguros colectivos y cualquier retribución extrasalarial, articulada en función de los niveles y cargos existentes.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aportaciones a planes de pensiones o seguros colectivos y cualquier retribución extra salarial.</w:t>
      </w:r>
    </w:p>
    <w:p>
      <w:pPr/>
      <w:r>
        <w:rPr/>
        <w:t xml:space="preserve">Ejercicio 2020: No se contemplan aportaciones a planes de pensiones o seguros colectivos y cualquier retribución extra salarial.</w:t>
      </w:r>
    </w:p>
    <w:p>
      <w:pPr/>
      <w:r>
        <w:rPr/>
        <w:t xml:space="preserve">Ejercicio 2021: No se contemplan aportaciones a planes de pensiones o seguros colectivos y cualquier retribución extra salarial.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las aportaciones a planes de pensiones o seguros colectivos ni cualquier retribución extrasalarial.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2026-05-15T12:27:05+00:00</dcterms:created>
  <dcterms:modified xsi:type="dcterms:W3CDTF">2026-05-15T12:27:05+00:00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