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Ejercicio 2019: No se perciben indemnizaciones por abandono de cargo.</w:t>
      </w:r>
    </w:p>
    <w:p>
      <w:pPr/>
      <w:r>
        <w:rPr/>
        <w:t xml:space="preserve">Ejercicio 2020: No se perciben indemnizaciones por abandono de cargo.</w:t>
      </w:r>
    </w:p>
    <w:p>
      <w:pPr/>
      <w:r>
        <w:rPr/>
        <w:t xml:space="preserve">Ejercicio 2021: No se perciben indemnizaciones por abandono de cargo.</w:t>
      </w:r>
    </w:p>
    <w:p>
      <w:pPr/>
      <w:r>
        <w:rPr/>
        <w:t xml:space="preserve">Ejercicio de 2023. Según establece el artículo 7 de los Estatutos, «Los miembros del Consejo Rector no percibirán retribución alguna».</w:t>
      </w:r>
    </w:p>
    <w:p>
      <w:pPr/>
      <w:r>
        <w:rPr/>
        <w:t xml:space="preserve">Ejercicio de 2024. Según establece el artículo 7 de los Estatutos, «Los miembros del Consejo Rector no percibirán retribución alguna».</w:t>
      </w:r>
    </w:p>
    <w:p>
      <w:pPr/>
      <w:r>
        <w:rPr/>
        <w:t xml:space="preserve">Ejercicio 2025: No se perciben indemnizaciones por abandono de cargo.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2026-09-28T23:28:56+00:00</dcterms:created>
  <dcterms:modified xsi:type="dcterms:W3CDTF">2026-09-28T23:28:56+00:00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