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Ejercicio 2019: El  Organismo no cuenta con  gastos de representación asignados.</w:t>
      </w:r>
    </w:p>
    <w:p>
      <w:pPr/>
      <w:r>
        <w:rPr/>
        <w:t xml:space="preserve">Ejercicio 2020: El  Organismo no cuenta con  gastos de representación asignados.</w:t>
      </w:r>
    </w:p>
    <w:p>
      <w:pPr/>
      <w:r>
        <w:rPr/>
        <w:t xml:space="preserve">Ejercicio 2021: El  Organismo no cuenta con  gastos de representación asignados.</w:t>
      </w:r>
    </w:p>
    <w:p>
      <w:pPr/>
      <w:r>
        <w:rPr/>
        <w:t xml:space="preserve">Ejercicio 2025: El  Organismo no cuenta con  gastos de representación asignados.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2026-05-15T12:24:26+00:00</dcterms:created>
  <dcterms:modified xsi:type="dcterms:W3CDTF">2026-05-15T12:24:26+00:00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