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Ejercicio 2019: El Organismo no cuenta con Retribuciones a ningún miembro.</w:t>
      </w:r>
    </w:p>
    <w:p>
      <w:pPr/>
      <w:r>
        <w:rPr/>
        <w:t xml:space="preserve">Ejercicio 2020: El Organismo no cuenta con Retribuciones a ningún miembro.</w:t>
      </w:r>
    </w:p>
    <w:p>
      <w:pPr/>
      <w:r>
        <w:rPr/>
        <w:t xml:space="preserve">Ejercicio 2021: El Organismo no cuenta con Retribuciones a ningún miembro.</w:t>
      </w:r>
    </w:p>
    <w:p>
      <w:pPr/>
      <w:r>
        <w:rPr/>
        <w:t xml:space="preserve">Ejercicio de 2023. Según establece el artículo 7 de los Estatutos, «Los miembros del Consejo Rector no percibirán retribución alguna».</w:t>
      </w:r>
    </w:p>
    <w:p>
      <w:pPr/>
      <w:r>
        <w:rPr/>
        <w:t xml:space="preserve">Ejercicio de 2024. Según establece el artículo 7 de los Estatutos, «Los miembros del Consejo Rector no percibirán retribución alguna».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2026-09-28T23:28:32+00:00</dcterms:created>
  <dcterms:modified xsi:type="dcterms:W3CDTF">2026-09-28T23:28:32+00:00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