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Miembros electos, titulares de los órganos de gobierno, altos cargos o asimilados y titulares de los órganos superiores y directivos de la entidad    </w:t>
      </w:r>
    </w:p>
    <w:p>
      <w:pPr/>
      <w:r>
        <w:rPr>
          <w:b w:val="1"/>
          <w:bCs w:val="1"/>
        </w:rPr>
        <w:t xml:space="preserve">1035    Nombramiento o régimen de contrato laboral; funciones; órganos colegiados administrativos o sociales de los que es miembro y actividades públicas y privadas para las que se le ha concedido la compatibilidad.</w:t>
      </w:r>
    </w:p>
    <w:p>
      <w:pPr/>
      <w:r>
        <w:rPr/>
        <w:t xml:space="preserve"> </w:t>
      </w:r>
    </w:p>
    <w:p>
      <w:pPr/>
      <w:r>
        <w:rPr/>
        <w:t xml:space="preserve">Este Organismo carece de personal de libre nombramiento en este área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2026-09-28T23:28:31+00:00</dcterms:created>
  <dcterms:modified xsi:type="dcterms:W3CDTF">2026-09-28T23:28:31+00:00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